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widowControl w:val="1"/>
        <w:spacing w:before="100" w:after="100"/>
        <w:jc w:val="center"/>
        <w:rPr>
          <w:rFonts w:ascii="新細明體" w:cs="新細明體" w:hAnsi="新細明體" w:eastAsia="新細明體"/>
          <w:kern w:val="0"/>
          <w:sz w:val="32"/>
          <w:szCs w:val="32"/>
        </w:rPr>
      </w:pPr>
      <w:r>
        <w:rPr>
          <w:rFonts w:ascii="新細明體" w:cs="新細明體" w:hAnsi="新細明體" w:eastAsia="新細明體"/>
          <w:b w:val="1"/>
          <w:bCs w:val="1"/>
          <w:kern w:val="0"/>
          <w:sz w:val="32"/>
          <w:szCs w:val="32"/>
          <w:rtl w:val="0"/>
          <w:lang w:val="zh-TW" w:eastAsia="zh-TW"/>
        </w:rPr>
        <w:t>光明國小</w:t>
      </w:r>
      <w:r>
        <w:rPr>
          <w:rFonts w:ascii="新細明體" w:cs="新細明體" w:hAnsi="新細明體" w:eastAsia="新細明體"/>
          <w:b w:val="1"/>
          <w:bCs w:val="1"/>
          <w:kern w:val="0"/>
          <w:sz w:val="32"/>
          <w:szCs w:val="32"/>
          <w:rtl w:val="0"/>
          <w:lang w:val="en-US"/>
        </w:rPr>
        <w:t>114</w:t>
      </w:r>
      <w:r>
        <w:rPr>
          <w:rFonts w:ascii="新細明體" w:cs="新細明體" w:hAnsi="新細明體" w:eastAsia="新細明體"/>
          <w:b w:val="1"/>
          <w:bCs w:val="1"/>
          <w:kern w:val="0"/>
          <w:sz w:val="32"/>
          <w:szCs w:val="32"/>
          <w:rtl w:val="0"/>
          <w:lang w:val="zh-TW" w:eastAsia="zh-TW"/>
        </w:rPr>
        <w:t>年度暑期夏令營 小小巴菲特理財營</w:t>
      </w:r>
      <w:r>
        <w:rPr>
          <w:rFonts w:ascii="新細明體" w:cs="新細明體" w:hAnsi="新細明體" w:eastAsia="新細明體"/>
          <w:b w:val="1"/>
          <w:bCs w:val="1"/>
          <w:kern w:val="0"/>
          <w:sz w:val="32"/>
          <w:szCs w:val="32"/>
          <w:rtl w:val="0"/>
          <w:lang w:val="en-US"/>
        </w:rPr>
        <w:t xml:space="preserve">  </w:t>
      </w:r>
      <w:r>
        <w:rPr>
          <w:rFonts w:ascii="新細明體" w:cs="新細明體" w:hAnsi="新細明體" w:eastAsia="新細明體"/>
          <w:b w:val="1"/>
          <w:bCs w:val="1"/>
          <w:kern w:val="0"/>
          <w:sz w:val="32"/>
          <w:szCs w:val="32"/>
          <w:rtl w:val="0"/>
          <w:lang w:val="zh-TW" w:eastAsia="zh-TW"/>
        </w:rPr>
        <w:t>招生資訊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一、主旨： 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kern w:val="0"/>
          <w:u w:color="ff0000"/>
          <w:rtl w:val="0"/>
          <w:lang w:val="zh-TW" w:eastAsia="zh-TW"/>
        </w:rPr>
        <w:t>國小階段不少學生有零用錢</w:t>
      </w: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>，或是對錢的使用開始產生好奇。透過系統性的互動教學及好玩的理財桌遊，讓學生在歡樂的環境下，更懂得如何管理零用錢及提升金錢素養。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二、主辦單位：學務處體育組。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kern w:val="0"/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三、開班時間：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114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年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7 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月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14 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日起 </w:t>
      </w: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 xml:space="preserve">至 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 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月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18 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日止，星期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>ㄧ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~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星期</w:t>
      </w: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 xml:space="preserve"> 五 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>上午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新細明體" w:cs="新細明體" w:hAnsi="新細明體" w:eastAsia="新細明體"/>
          <w:kern w:val="0"/>
          <w:rtl w:val="0"/>
          <w:lang w:val="en-US"/>
        </w:rPr>
        <w:t>9:00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~12:00 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，共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>一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週，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15 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小時。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四、活動地點：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內文 A"/>
        <w:widowControl w:val="1"/>
        <w:spacing w:before="100" w:after="100"/>
        <w:ind w:left="1680" w:hanging="168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五、參加對象：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 xml:space="preserve">二～五 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年級學生。 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六、名額及收費： </w:t>
      </w:r>
    </w:p>
    <w:p>
      <w:pPr>
        <w:pStyle w:val="內文 A"/>
        <w:widowControl w:val="1"/>
        <w:spacing w:before="100" w:after="100"/>
        <w:ind w:firstLine="24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（一）依報名順序錄取至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新細明體" w:cs="新細明體" w:hAnsi="新細明體" w:eastAsia="新細明體"/>
          <w:kern w:val="0"/>
          <w:rtl w:val="0"/>
          <w:lang w:val="en-US"/>
        </w:rPr>
        <w:t>20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名，額滿為止。 </w:t>
      </w:r>
    </w:p>
    <w:p>
      <w:pPr>
        <w:pStyle w:val="內文 A"/>
        <w:widowControl w:val="1"/>
        <w:spacing w:before="100" w:after="100"/>
        <w:ind w:firstLine="24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（二）報名日期：採網路線上報名，請注意學校網站之公告。</w:t>
      </w:r>
    </w:p>
    <w:p>
      <w:pPr>
        <w:pStyle w:val="內文 A"/>
        <w:widowControl w:val="1"/>
        <w:spacing w:before="100" w:after="100"/>
        <w:ind w:firstLine="24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（三）收費：活動費為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1,900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元。</w:t>
      </w: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七、活動內容及方式：活動內容詳如附表（一）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八、活動須知及注意事項：</w:t>
      </w:r>
    </w:p>
    <w:p>
      <w:pPr>
        <w:pStyle w:val="內文 A"/>
        <w:widowControl w:val="1"/>
        <w:spacing w:before="100" w:after="100"/>
        <w:ind w:firstLine="24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（一）</w:t>
      </w: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>請家長讓孩子吃完早餐後再到校上課。</w:t>
      </w:r>
    </w:p>
    <w:p>
      <w:pPr>
        <w:pStyle w:val="內文 A"/>
        <w:widowControl w:val="1"/>
        <w:spacing w:before="100" w:after="100"/>
        <w:ind w:firstLine="24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（二）</w:t>
      </w: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>請家長準時</w:t>
      </w:r>
      <w:r>
        <w:rPr>
          <w:rFonts w:ascii="新細明體" w:cs="新細明體" w:hAnsi="新細明體" w:eastAsia="新細明體"/>
          <w:kern w:val="0"/>
          <w:rtl w:val="0"/>
          <w:lang w:val="en-US"/>
        </w:rPr>
        <w:t>(</w:t>
      </w: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>可提早</w:t>
      </w:r>
      <w:r>
        <w:rPr>
          <w:rFonts w:ascii="新細明體" w:cs="新細明體" w:hAnsi="新細明體" w:eastAsia="新細明體"/>
          <w:kern w:val="0"/>
          <w:rtl w:val="0"/>
          <w:lang w:val="en-US"/>
        </w:rPr>
        <w:t>5~10</w:t>
      </w: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>分鐘）接送孩子到校上課。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九、需自備器材：</w:t>
      </w:r>
      <w:r>
        <w:rPr>
          <w:rFonts w:ascii="新細明體" w:cs="新細明體" w:hAnsi="新細明體" w:eastAsia="新細明體"/>
          <w:kern w:val="0"/>
          <w:rtl w:val="0"/>
          <w:lang w:val="zh-TW" w:eastAsia="zh-TW"/>
        </w:rPr>
        <w:t>無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ff0000"/>
          <w:kern w:val="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十、師資介紹：</w:t>
      </w:r>
      <w:r>
        <w:rPr>
          <w:rFonts w:ascii="新細明體" w:cs="新細明體" w:hAnsi="新細明體" w:eastAsia="新細明體"/>
          <w:kern w:val="0"/>
          <w:u w:color="ff0000"/>
          <w:rtl w:val="0"/>
          <w:lang w:val="zh-TW" w:eastAsia="zh-TW"/>
        </w:rPr>
        <w:t>蕭美雲 松鼠老師</w:t>
      </w:r>
      <w:r>
        <w:rPr>
          <w:rFonts w:ascii="新細明體" w:cs="新細明體" w:hAnsi="新細明體" w:eastAsia="新細明體"/>
          <w:kern w:val="0"/>
          <w:u w:color="ff0000"/>
          <w:rtl w:val="0"/>
          <w:lang w:val="en-US"/>
        </w:rPr>
        <w:t xml:space="preserve"> 0953-951-697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kern w:val="0"/>
          <w:u w:color="ff0000"/>
          <w:lang w:val="zh-TW" w:eastAsia="zh-TW"/>
        </w:rPr>
      </w:pPr>
      <w:r>
        <w:rPr>
          <w:rFonts w:ascii="新細明體" w:cs="新細明體" w:hAnsi="新細明體" w:eastAsia="新細明體"/>
          <w:kern w:val="0"/>
          <w:u w:color="ff0000"/>
          <w:rtl w:val="0"/>
          <w:lang w:val="zh-TW" w:eastAsia="zh-TW"/>
        </w:rPr>
        <w:t>莊敬國小 小小巴菲特理財桌遊社 社團老師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kern w:val="0"/>
          <w:u w:color="ff0000"/>
          <w:lang w:val="zh-TW" w:eastAsia="zh-TW"/>
        </w:rPr>
      </w:pPr>
      <w:r>
        <w:rPr>
          <w:rFonts w:ascii="新細明體" w:cs="新細明體" w:hAnsi="新細明體" w:eastAsia="新細明體"/>
          <w:kern w:val="0"/>
          <w:u w:color="ff0000"/>
          <w:rtl w:val="0"/>
          <w:lang w:val="zh-TW" w:eastAsia="zh-TW"/>
        </w:rPr>
        <w:t>同德國小 小小巴菲特理財桌遊社 社團老師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kern w:val="0"/>
          <w:u w:color="ff0000"/>
          <w:lang w:val="zh-TW" w:eastAsia="zh-TW"/>
        </w:rPr>
      </w:pPr>
      <w:r>
        <w:rPr>
          <w:rFonts w:ascii="新細明體" w:cs="新細明體" w:hAnsi="新細明體" w:eastAsia="新細明體"/>
          <w:kern w:val="0"/>
          <w:u w:color="ff0000"/>
          <w:rtl w:val="0"/>
          <w:lang w:val="zh-TW" w:eastAsia="zh-TW"/>
        </w:rPr>
        <w:t>台北師大小大師 兒童理財老師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kern w:val="0"/>
          <w:u w:color="ff0000"/>
          <w:lang w:val="zh-TW" w:eastAsia="zh-TW"/>
        </w:rPr>
      </w:pPr>
      <w:r>
        <w:rPr>
          <w:rFonts w:ascii="新細明體" w:cs="新細明體" w:hAnsi="新細明體" w:eastAsia="新細明體"/>
          <w:kern w:val="0"/>
          <w:u w:color="ff0000"/>
          <w:rtl w:val="0"/>
          <w:lang w:val="zh-TW" w:eastAsia="zh-TW"/>
        </w:rPr>
        <w:t>桃園家扶中心兒童理財老師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kern w:val="0"/>
          <w:u w:color="ff0000"/>
          <w:rtl w:val="0"/>
          <w:lang w:val="zh-TW" w:eastAsia="zh-TW"/>
        </w:rPr>
        <w:t>光明國小 彩虹故事媽媽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附表一：光明國小</w:t>
      </w:r>
      <w:r>
        <w:rPr>
          <w:rFonts w:ascii="新細明體" w:cs="新細明體" w:hAnsi="新細明體" w:eastAsia="新細明體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新細明體" w:cs="新細明體" w:hAnsi="新細明體" w:eastAsia="新細明體"/>
          <w:sz w:val="32"/>
          <w:szCs w:val="32"/>
          <w:rtl w:val="0"/>
          <w:lang w:val="zh-TW" w:eastAsia="zh-TW"/>
        </w:rPr>
        <w:t>小小巴菲特理財</w:t>
      </w:r>
      <w:r>
        <w:rPr>
          <w:rFonts w:ascii="新細明體" w:cs="新細明體" w:hAnsi="新細明體" w:eastAsia="新細明體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新細明體" w:cs="新細明體" w:hAnsi="新細明體" w:eastAsia="新細明體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課程表</w:t>
      </w:r>
    </w:p>
    <w:tbl>
      <w:tblPr>
        <w:tblW w:w="83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6"/>
        <w:gridCol w:w="5610"/>
      </w:tblGrid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時間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日期及星期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z w:val="26"/>
                <w:szCs w:val="26"/>
                <w:shd w:val="nil" w:color="auto" w:fill="auto"/>
                <w:rtl w:val="0"/>
                <w:lang w:val="zh-TW" w:eastAsia="zh-TW"/>
              </w:rPr>
              <w:t>預定教學內容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7/ 14 (</w:t>
            </w:r>
            <w:r>
              <w:rPr>
                <w:shd w:val="nil" w:color="auto" w:fill="auto"/>
                <w:rtl w:val="0"/>
                <w:lang w:val="zh-TW" w:eastAsia="zh-TW"/>
              </w:rPr>
              <w:t>一）</w:t>
            </w:r>
          </w:p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both"/>
            </w:pP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(1)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認識國內外貨幣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(2)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貨幣的演進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(3)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養成先存後花的好習慣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7/ 15(</w:t>
            </w:r>
            <w:r>
              <w:rPr>
                <w:shd w:val="nil" w:color="auto" w:fill="auto"/>
                <w:rtl w:val="0"/>
              </w:rPr>
              <w:t>二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both"/>
            </w:pP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(1)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儲蓄目標的設定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(2)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記帳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(3)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夢想之塔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儲蓄桌遊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7/ 16(</w:t>
            </w:r>
            <w:r>
              <w:rPr>
                <w:shd w:val="nil" w:color="auto" w:fill="auto"/>
                <w:rtl w:val="0"/>
              </w:rPr>
              <w:t>三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both"/>
            </w:pP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(1)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分辨需要與想要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(2)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練習規劃預算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(3)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聰明購物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7/ 17(</w:t>
            </w:r>
            <w:r>
              <w:rPr>
                <w:shd w:val="nil" w:color="auto" w:fill="auto"/>
                <w:rtl w:val="0"/>
                <w:lang w:val="zh-TW" w:eastAsia="zh-TW"/>
              </w:rPr>
              <w:t>四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both"/>
            </w:pP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(1)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分享的價值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(2)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學習分配管理零用錢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(3)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王國慶典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消費桌遊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7/ 18(</w:t>
            </w:r>
            <w:r>
              <w:rPr>
                <w:shd w:val="nil" w:color="auto" w:fill="auto"/>
                <w:rtl w:val="0"/>
                <w:lang w:val="zh-TW" w:eastAsia="zh-TW"/>
              </w:rPr>
              <w:t>五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both"/>
            </w:pP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(1)</w:t>
            </w:r>
            <w:r>
              <w:rPr>
                <w:rFonts w:ascii="DFKai-SB" w:cs="DFKai-SB" w:hAnsi="DFKai-SB" w:eastAsia="DFKai-SB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致富的秘訣</w:t>
            </w:r>
            <w:r>
              <w:rPr>
                <w:rFonts w:ascii="DFKai-SB" w:cs="DFKai-SB" w:hAnsi="DFKai-SB" w:eastAsia="DFKai-SB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儲蓄加消費桌遊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（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2)</w:t>
            </w:r>
            <w:r>
              <w:rPr>
                <w:rFonts w:ascii="DFKai-SB" w:cs="DFKai-SB" w:hAnsi="DFKai-SB" w:eastAsia="DFKai-SB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課程總複習</w:t>
            </w:r>
          </w:p>
        </w:tc>
      </w:tr>
    </w:tbl>
    <w:p>
      <w:pPr>
        <w:pStyle w:val="內文 A"/>
        <w:spacing w:before="100" w:after="100"/>
        <w:ind w:left="108" w:hanging="108"/>
        <w:rPr>
          <w:rFonts w:ascii="新細明體" w:cs="新細明體" w:hAnsi="新細明體" w:eastAsia="新細明體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內文 A"/>
        <w:spacing w:before="100" w:after="100"/>
        <w:rPr>
          <w:rFonts w:ascii="新細明體" w:cs="新細明體" w:hAnsi="新細明體" w:eastAsia="新細明體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◎</w:t>
      </w: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煩各位負責人請將所有</w:t>
      </w: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    )</w:t>
      </w: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內容填寫完整，若表格不夠請自行增加，謝謝。</w:t>
      </w: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</w:t>
      </w: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完成後請將此行字自行刪去</w:t>
      </w: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)</w:t>
      </w:r>
    </w:p>
    <w:p>
      <w:pPr>
        <w:pStyle w:val="內文 A"/>
        <w:widowControl w:val="1"/>
        <w:spacing w:before="100" w:after="100"/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◎</w:t>
      </w: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此表將公告於招生網頁上，請各位老師儘量填寫清楚，方便家長學生了解夏令營課程內容。</w:t>
      </w:r>
    </w:p>
    <w:p>
      <w:pPr>
        <w:pStyle w:val="內文 A"/>
        <w:widowControl w:val="1"/>
        <w:spacing w:before="100" w:after="100"/>
      </w:pP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◎</w:t>
      </w: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完成後請另存新檔，檔名：</w:t>
      </w: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114</w:t>
      </w:r>
      <w:r>
        <w:rPr>
          <w:rFonts w:ascii="新細明體" w:cs="新細明體" w:hAnsi="新細明體" w:eastAsia="新細明體"/>
          <w:outline w:val="0"/>
          <w:color w:val="ff0000"/>
          <w:sz w:val="32"/>
          <w:szCs w:val="32"/>
          <w:u w:val="single"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年班別名稱</w:t>
      </w:r>
    </w:p>
    <w:sectPr>
      <w:headerReference w:type="default" r:id="rId4"/>
      <w:footerReference w:type="default" r:id="rId5"/>
      <w:pgSz w:w="11900" w:h="16840" w:orient="portrait"/>
      <w:pgMar w:top="851" w:right="1797" w:bottom="1440" w:left="179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新細明體">
    <w:charset w:val="00"/>
    <w:family w:val="roman"/>
    <w:pitch w:val="default"/>
  </w:font>
  <w:font w:name="DFKai-SB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